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A1BC0" w:rsidRPr="00867484" w:rsidTr="00A73772">
        <w:tc>
          <w:tcPr>
            <w:tcW w:w="9344" w:type="dxa"/>
          </w:tcPr>
          <w:p w:rsidR="003A1BC0" w:rsidRPr="00867484" w:rsidRDefault="003A1BC0" w:rsidP="00A73772">
            <w:pPr>
              <w:pStyle w:val="msonormalmailrucssattributepostfix"/>
              <w:widowControl w:val="0"/>
              <w:jc w:val="center"/>
              <w:rPr>
                <w:b/>
              </w:rPr>
            </w:pPr>
            <w:r w:rsidRPr="00867484">
              <w:rPr>
                <w:b/>
              </w:rPr>
              <w:t>Рекомендации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center"/>
              <w:rPr>
                <w:b/>
              </w:rPr>
            </w:pPr>
            <w:r w:rsidRPr="00867484">
              <w:rPr>
                <w:b/>
              </w:rPr>
              <w:t>Наблюдательного Совета АО «АКМА»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center"/>
              <w:rPr>
                <w:b/>
              </w:rPr>
            </w:pPr>
            <w:r w:rsidRPr="00867484">
              <w:rPr>
                <w:b/>
              </w:rPr>
              <w:t>в отношении полученного добровольного предложения о приобретении ценных бумаг Акционерного общества «АКМА»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center"/>
              <w:rPr>
                <w:b/>
              </w:rPr>
            </w:pPr>
            <w:r w:rsidRPr="00867484">
              <w:rPr>
                <w:b/>
              </w:rPr>
              <w:t>Уважаемый акционер АО «АКМА»!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 xml:space="preserve">В соответствии со статьей 84.1. Федерального закона «Об акционерных обществах» №208-ФЗ в АО «АКМА» поступило Добровольное предложение от акционера </w:t>
            </w:r>
            <w:proofErr w:type="spellStart"/>
            <w:r w:rsidRPr="00867484">
              <w:t>Мармилова</w:t>
            </w:r>
            <w:proofErr w:type="spellEnd"/>
            <w:r w:rsidRPr="00867484">
              <w:t xml:space="preserve"> Владимира Анатольевича о приобретении акции АО «АКМА»: акции обыкновенные, акции привилегированные типа А.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 xml:space="preserve">Добровольное предложение о приобретении ценных бумаг АО «АКМА», направленное </w:t>
            </w:r>
            <w:proofErr w:type="spellStart"/>
            <w:r w:rsidRPr="00867484">
              <w:t>Мармиловым</w:t>
            </w:r>
            <w:proofErr w:type="spellEnd"/>
            <w:r w:rsidRPr="00867484">
              <w:t xml:space="preserve"> Владимиром Анатольевичем (далее также – Предложение), по объемам представленной в нем информации соответствует требованиям статьи 84.1 Федерального закона «Об акционерных обществах» №208-ФЗ. Предложение получено Обществом 10 апреля 2024 года вместе с комплектом документов согласно требованиям Федерального закона «Об акционерных обществах» №208-ФЗ.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>Предлагаемая цена приобретения обыкновенных и привилегированных типа А акций АО «АКМА» соответствует требованиям действующего законодательства и составляет 1(один) рубль, и определена, опираясь на анализ сделок, проведенных за последние шесть месяцев, предшествующих дате направления добровольного предложения на приобретение акции АО «АКМА».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>Возможности изменения рыночной стоимости акций после их приобретения не предусматривается.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proofErr w:type="spellStart"/>
            <w:r w:rsidRPr="00867484">
              <w:t>Мармилов</w:t>
            </w:r>
            <w:proofErr w:type="spellEnd"/>
            <w:r w:rsidRPr="00867484">
              <w:t xml:space="preserve"> Владимир Анатольевич не планирует мероприятий, направленных на изменение основных видов деятельности АО «АКМА» и сокращение штата его сотрудников.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>К Предложению прилагается безотзывная банковская гарантия оплаты приобретаемых ценных бумаг № 540G00U1HMF, Дата выдачи – «12» марта 2024 г, выданная ПУБЛИЧНЫМ АКЦИОНЕРНЫМ ОБЩЕСТВОМ "СБЕРБАНК РОССИИ". Банковская гарантия вступает в силу со дня ее выдачи и действует по «03» марта 2025г (включительно).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>В соответствии с п. 4 ст. 84.1 Федерального закона «Об акционерных обществах» №208-ФЗ Вы имеете право принять добровольное предложение. Если Вы желаете воспользоваться своим правом, Вам необходимо в течение 70 дней с момента получения добровольного предложения АО «АКМА» (т.е. в срок по 19 июня 2024 г. включительно) принести или направить заказным письмом в Акционерное общество "Независимая регистраторская компания Р.О.С.Т." (Астраханский филиал) по адресу 414040 г. Астрахань, ул. Победы, 41, этаж 4, офис 4.5. Тел. (8512) 24-10-40 заполненное Заявление о продаже принадлежащих Вам ценных бумаг.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 xml:space="preserve">В случае необходимости внесения Вами изменений в реестр акционеров АО «АКМА», связанных со сменой паспорта, места жительства и др., заполнить Анкету </w:t>
            </w:r>
            <w:r w:rsidRPr="00867484">
              <w:lastRenderedPageBreak/>
              <w:t xml:space="preserve">зарегистрированного лица. 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>По вопросам заполнения Передаточного распоряжения и Анкеты можно обратиться по адресу: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>г. Астрахань, ул. Победы, 41, этаж 4, офис 4.5. Тел. (8512) 24-10-40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>Ценные бумаги должны быть переданы свободными от любых прав третьих лиц.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proofErr w:type="spellStart"/>
            <w:r w:rsidRPr="00867484">
              <w:t>Мармилов</w:t>
            </w:r>
            <w:proofErr w:type="spellEnd"/>
            <w:r w:rsidRPr="00867484">
              <w:t xml:space="preserve"> Владимир Анатольевич обязан в срок до 04 июля 2024 г. (включительно) произвести выплату денежных средств в связи с продажей ценных бумаг их владельцами, зарегистрированными в реестре акционеров общества, путем их перечисления на банковские счета, реквизиты которых имеются у регистратора общества. Указанная в настоящем пункте обязанность лица, направившего добровольное предложение,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jc w:val="both"/>
            </w:pPr>
            <w:r w:rsidRPr="00867484">
              <w:t xml:space="preserve">В случае неисполнения </w:t>
            </w:r>
            <w:proofErr w:type="spellStart"/>
            <w:r w:rsidRPr="00867484">
              <w:t>Мармиловым</w:t>
            </w:r>
            <w:proofErr w:type="spellEnd"/>
            <w:r w:rsidRPr="00867484">
              <w:t xml:space="preserve"> Владимиром Анатольевичем (Принципалом) обязанности оплатить в срок приобретаемые ценные бумаги, владелец ценных бумаг по своему выбору вправе: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1"/>
              </w:numPr>
              <w:jc w:val="both"/>
            </w:pPr>
            <w:r w:rsidRPr="00867484">
              <w:t>Представить гаранту, выдавшему банковскую гарантию, обеспечивающую исполнение обязательств по добровольному предложению, требование об оплате стоимости приобретаемых акций с приложением документов, подтверждающих направление заявления о продаже ценных бумаг, и документов, подтверждающих наличие записи об установлении ограничения распоряжения ценными бумагами, в отношении которых подано заявление об их продаже, по счету, на котором учитываются права владельца на ценные бумаги.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>Гарант принимает на себя обязательство уплатить по первому письменному требованию владельца ценных бума цену продаваемых владельцем ценных бумаг Акций, определяемую в соответствии с условиями Оферты, в случае неисполнения Принципалом обязанности оплатить в срок, в соответствии с условиями Оферты, приобретаемые Акции.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>Письменное требование платежа по гарантии должно быть получено Гарантом в месте ее выдачи заказным письмом с уведомлением о вручении по адресу: 414000, г. Астрахань, ул. Кирова, дом 41.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 xml:space="preserve">В требовании владельца ценных бума должно быть указано, какие обязательства Принципала, обеспеченные гарантией, не исполнены им (в </w:t>
            </w:r>
            <w:proofErr w:type="spellStart"/>
            <w:r w:rsidRPr="00867484">
              <w:t>т.ч</w:t>
            </w:r>
            <w:proofErr w:type="spellEnd"/>
            <w:r w:rsidRPr="00867484">
              <w:t>. должны быть указаны вид, категория (тип), количество и цена Акций, в отношении которых Принципалом не исполнены или ненадлежащим образом исполнены платежные обязательства), а также платежные реквизиты владельца ценных бумаг, необходимые для осуществления Гарантом безналичного платежа по гарантии.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>К требованию владельца ценных бумаг о совершении платежа по гарантии должны быть приложены следующие документы: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>Документы, подтверждающие направление владельцем ценных бумаг заявления о продаже принадлежащих ему Акций Принципалу, заверенные надлежащим образом;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lastRenderedPageBreak/>
              <w:t>Документы, подтверждающие наличие записи об установлении ограничения распоряжения Акциями, в отношении которых владельцем ценных бумаг подано заявление об их продаже, по счету, на котором учитываются права Бенефициара на Акции, заверенные надлежащим образом;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>Документы, подтверждающие полномочия и подпись лица, подписавшего требование.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>Указанные в гарантии документы, прилагаемые к требованию платежа по гарантии, представляются владельцем ценных бумаг в оригинале или заверенной владельцем ценных бумаг копии. Если копия документа заверена: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 xml:space="preserve">лицом, не указанным в Едином государственном реестре юридических лиц в качестве лица, имеющего право без доверенности действовать от имени владельца ценных бумаг (если владелец ценных бумаг – юридическое лицо), 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>лицом, не указанным в Едином государственном реестре индивидуальных предпринимателей (если владелец ценных бумаг - индивидуальный предприниматель), представляется документ, подтверждающий полномочия такого лица на осуществление действий от имени владельца ценных бумаг.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 xml:space="preserve">Требование платежа по гарантии не может быть предъявлено ранее установленного срока исполнения Принципалом обязательств по оплате Акций в соответствии с условиями Оферты. 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>Сумма требования платежа по гарантии не может быть больше определенной в соответствии с условиями Оферты цены подлежащих зачислению на лицевой счет (счет депо) Принципала Акций, указанных в приложенных к требованию владельца ценных бумаг подтверждающих документах.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 xml:space="preserve">Требование платежа по гарантии будет рассмотрено в течение 5 (Пяти) рабочих дней с даты получения письменного требования владельца ценных бумаг. 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</w:pPr>
            <w:r w:rsidRPr="00867484">
              <w:t>Гарант имеет право приостановить осуществление платежа в пользу владельца ценных бумаг на срок до 7 (Семи) календарных дней, если он имеет разумные основания полагать, что: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>какой-либо из представленных ему документов является недостоверным;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>обстоятельство, на случай возникновения которого гарантия обеспечивала интересы владельца ценных бумаг, не возникло;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>основное обязательство Принципала, обеспеченное гарантией, недействительно;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2"/>
              </w:numPr>
              <w:jc w:val="both"/>
            </w:pPr>
            <w:r w:rsidRPr="00867484">
              <w:t>исполнение по основному обязательству Принципала.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numPr>
                <w:ilvl w:val="0"/>
                <w:numId w:val="1"/>
              </w:numPr>
              <w:jc w:val="both"/>
            </w:pPr>
            <w:r w:rsidRPr="00867484">
              <w:t>Либо в одностороннем порядке расторгнуть договор о приобретении ценных бумаг и потребовать возвращения ценных бумаг.</w:t>
            </w:r>
          </w:p>
          <w:p w:rsidR="003A1BC0" w:rsidRPr="00867484" w:rsidRDefault="003A1BC0" w:rsidP="00A73772">
            <w:pPr>
              <w:pStyle w:val="msonormalmailrucssattributepostfix"/>
              <w:widowControl w:val="0"/>
              <w:ind w:left="720"/>
              <w:jc w:val="both"/>
              <w:rPr>
                <w:b/>
              </w:rPr>
            </w:pPr>
            <w:r w:rsidRPr="00867484">
              <w:t xml:space="preserve">Дополнительно напоминаем, что владельцы приобретаемых ценных бумаг после получения дохода от их продажи обязаны в соответствии с действующим законодательством Российской Федерации (далее также – РФ) оплатить налог с доходов, полученных от реализации ценных бумаг (налог на доходы физических </w:t>
            </w:r>
            <w:r w:rsidRPr="00867484">
              <w:lastRenderedPageBreak/>
              <w:t>лиц – для физических лиц). Налогообложение доходов, получаемых от реализации ценных бумаг на территории РФ, регулируется Налоговым кодексом Российской Федерации, а также иными нормативными правовыми актами РФ, принятыми в соответствии с Налоговым кодексом Российской Федерации.</w:t>
            </w:r>
          </w:p>
        </w:tc>
      </w:tr>
    </w:tbl>
    <w:p w:rsidR="003C4AD7" w:rsidRDefault="003C4AD7">
      <w:bookmarkStart w:id="0" w:name="_GoBack"/>
      <w:bookmarkEnd w:id="0"/>
    </w:p>
    <w:sectPr w:rsidR="003C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5010"/>
    <w:multiLevelType w:val="hybridMultilevel"/>
    <w:tmpl w:val="536A7F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F417A"/>
    <w:multiLevelType w:val="hybridMultilevel"/>
    <w:tmpl w:val="C33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0"/>
    <w:rsid w:val="003A1BC0"/>
    <w:rsid w:val="003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7EF8-F0C8-4685-AD02-5BEC0DF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A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A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2024-04-12T09:07:00Z</dcterms:created>
  <dcterms:modified xsi:type="dcterms:W3CDTF">2024-04-12T09:08:00Z</dcterms:modified>
</cp:coreProperties>
</file>